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D5" w:rsidRDefault="007721D5" w:rsidP="007721D5">
      <w:pPr>
        <w:pStyle w:val="Header"/>
        <w:rPr>
          <w:rFonts w:ascii="Cambria" w:eastAsia="Times New Roman" w:hAnsi="Cambria" w:cs="Times New Roman"/>
          <w:sz w:val="20"/>
        </w:rPr>
      </w:pPr>
      <w:r w:rsidRPr="00E234C0">
        <w:rPr>
          <w:rFonts w:ascii="Cambria" w:eastAsia="Times New Roman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Times New Roman" w:hAnsi="Cambria" w:cs="Times New Roman"/>
          <w:sz w:val="20"/>
        </w:rPr>
        <w:t>3, P. 545-555</w:t>
      </w:r>
    </w:p>
    <w:p w:rsidR="007721D5" w:rsidRPr="00BF3863" w:rsidRDefault="007721D5" w:rsidP="007721D5">
      <w:pPr>
        <w:pStyle w:val="Header"/>
        <w:rPr>
          <w:rFonts w:ascii="Cambria" w:eastAsia="Times New Roman" w:hAnsi="Cambria" w:cs="Times New Roman"/>
        </w:rPr>
      </w:pPr>
    </w:p>
    <w:p w:rsidR="007721D5" w:rsidRPr="00BC008E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  <w:highlight w:val="lightGray"/>
        </w:rPr>
        <w:t>Original r</w:t>
      </w:r>
      <w:r w:rsidRPr="00BC008E">
        <w:rPr>
          <w:rFonts w:asciiTheme="majorHAnsi" w:hAnsiTheme="majorHAnsi" w:cstheme="minorHAnsi"/>
          <w:b/>
          <w:sz w:val="24"/>
          <w:szCs w:val="24"/>
          <w:highlight w:val="lightGray"/>
        </w:rPr>
        <w:t>esearch</w:t>
      </w:r>
    </w:p>
    <w:p w:rsidR="007721D5" w:rsidRPr="00BC008E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  <w:r w:rsidRPr="00BC008E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Factors influencing the outcome of </w:t>
      </w:r>
      <w:proofErr w:type="spellStart"/>
      <w:r w:rsidRPr="00BC008E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thrombolysis</w:t>
      </w:r>
      <w:proofErr w:type="spellEnd"/>
      <w:r w:rsidRPr="00BC008E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 in acute myocardial infarction</w:t>
      </w:r>
    </w:p>
    <w:p w:rsidR="007721D5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BC008E">
        <w:rPr>
          <w:rFonts w:asciiTheme="majorHAnsi" w:hAnsiTheme="majorHAnsi" w:cstheme="minorHAnsi"/>
          <w:b/>
          <w:sz w:val="20"/>
          <w:szCs w:val="20"/>
          <w:vertAlign w:val="superscript"/>
        </w:rPr>
        <w:t>1</w:t>
      </w:r>
      <w:r w:rsidRPr="00BC008E">
        <w:rPr>
          <w:rFonts w:asciiTheme="majorHAnsi" w:hAnsiTheme="majorHAnsi" w:cstheme="minorHAnsi"/>
          <w:b/>
          <w:sz w:val="20"/>
          <w:szCs w:val="20"/>
        </w:rPr>
        <w:t xml:space="preserve">Dr </w:t>
      </w:r>
      <w:proofErr w:type="spellStart"/>
      <w:r w:rsidRPr="00BC008E">
        <w:rPr>
          <w:rFonts w:asciiTheme="majorHAnsi" w:hAnsiTheme="majorHAnsi" w:cstheme="minorHAnsi"/>
          <w:b/>
          <w:sz w:val="20"/>
          <w:szCs w:val="20"/>
        </w:rPr>
        <w:t>Girish</w:t>
      </w:r>
      <w:proofErr w:type="spellEnd"/>
      <w:r w:rsidRPr="00BC008E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Pr="00BC008E">
        <w:rPr>
          <w:rFonts w:asciiTheme="majorHAnsi" w:hAnsiTheme="majorHAnsi" w:cstheme="minorHAnsi"/>
          <w:b/>
          <w:sz w:val="20"/>
          <w:szCs w:val="20"/>
        </w:rPr>
        <w:t>Ronad</w:t>
      </w:r>
      <w:proofErr w:type="spellEnd"/>
      <w:r w:rsidRPr="00BC008E">
        <w:rPr>
          <w:rFonts w:asciiTheme="majorHAnsi" w:hAnsiTheme="majorHAnsi" w:cstheme="minorHAnsi"/>
          <w:b/>
          <w:sz w:val="20"/>
          <w:szCs w:val="20"/>
        </w:rPr>
        <w:t xml:space="preserve">, </w:t>
      </w:r>
      <w:r w:rsidRPr="00BC008E">
        <w:rPr>
          <w:rFonts w:asciiTheme="majorHAnsi" w:hAnsiTheme="majorHAnsi" w:cstheme="minorHAnsi"/>
          <w:b/>
          <w:sz w:val="20"/>
          <w:szCs w:val="20"/>
          <w:vertAlign w:val="superscript"/>
        </w:rPr>
        <w:t>2</w:t>
      </w:r>
      <w:r w:rsidRPr="00BC008E">
        <w:rPr>
          <w:rFonts w:asciiTheme="majorHAnsi" w:hAnsiTheme="majorHAnsi" w:cstheme="minorHAnsi"/>
          <w:b/>
          <w:sz w:val="20"/>
          <w:szCs w:val="20"/>
        </w:rPr>
        <w:t xml:space="preserve">Dr </w:t>
      </w:r>
      <w:proofErr w:type="spellStart"/>
      <w:r w:rsidRPr="00BC008E">
        <w:rPr>
          <w:rFonts w:asciiTheme="majorHAnsi" w:hAnsiTheme="majorHAnsi" w:cstheme="minorHAnsi"/>
          <w:b/>
          <w:sz w:val="20"/>
          <w:szCs w:val="20"/>
        </w:rPr>
        <w:t>Rohit</w:t>
      </w:r>
      <w:proofErr w:type="spellEnd"/>
      <w:r w:rsidRPr="00BC008E">
        <w:rPr>
          <w:rFonts w:asciiTheme="majorHAnsi" w:hAnsiTheme="majorHAnsi" w:cstheme="minorHAnsi"/>
          <w:b/>
          <w:sz w:val="20"/>
          <w:szCs w:val="20"/>
        </w:rPr>
        <w:t xml:space="preserve"> Dixit</w:t>
      </w:r>
    </w:p>
    <w:p w:rsidR="007721D5" w:rsidRPr="00BC008E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7721D5" w:rsidRPr="00BC008E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BC008E">
        <w:rPr>
          <w:rFonts w:asciiTheme="majorHAnsi" w:hAnsiTheme="majorHAnsi" w:cstheme="minorHAnsi"/>
          <w:sz w:val="18"/>
          <w:szCs w:val="18"/>
          <w:vertAlign w:val="superscript"/>
        </w:rPr>
        <w:t>1</w:t>
      </w:r>
      <w:r w:rsidRPr="00BC008E">
        <w:rPr>
          <w:rFonts w:asciiTheme="majorHAnsi" w:hAnsiTheme="majorHAnsi" w:cstheme="minorHAnsi"/>
          <w:sz w:val="18"/>
          <w:szCs w:val="18"/>
        </w:rPr>
        <w:t xml:space="preserve">Senior resident, Department of General Medicine, ESIC Medical College, </w:t>
      </w:r>
      <w:proofErr w:type="gramStart"/>
      <w:r w:rsidRPr="00BC008E">
        <w:rPr>
          <w:rFonts w:asciiTheme="majorHAnsi" w:hAnsiTheme="majorHAnsi" w:cstheme="minorHAnsi"/>
          <w:sz w:val="18"/>
          <w:szCs w:val="18"/>
        </w:rPr>
        <w:t>Gulbarga ,</w:t>
      </w:r>
      <w:proofErr w:type="gramEnd"/>
      <w:r w:rsidRPr="00BC008E">
        <w:rPr>
          <w:rFonts w:asciiTheme="majorHAnsi" w:hAnsiTheme="majorHAnsi" w:cstheme="minorHAnsi"/>
          <w:sz w:val="18"/>
          <w:szCs w:val="18"/>
        </w:rPr>
        <w:t xml:space="preserve"> India </w:t>
      </w:r>
    </w:p>
    <w:p w:rsidR="007721D5" w:rsidRPr="00BC008E" w:rsidRDefault="007721D5" w:rsidP="007721D5">
      <w:pPr>
        <w:spacing w:after="0" w:line="36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BC008E">
        <w:rPr>
          <w:rFonts w:asciiTheme="majorHAnsi" w:hAnsiTheme="majorHAnsi" w:cstheme="minorHAnsi"/>
          <w:sz w:val="18"/>
          <w:szCs w:val="18"/>
          <w:vertAlign w:val="superscript"/>
        </w:rPr>
        <w:t>2</w:t>
      </w:r>
      <w:r w:rsidRPr="00BC008E">
        <w:rPr>
          <w:rFonts w:asciiTheme="majorHAnsi" w:hAnsiTheme="majorHAnsi" w:cstheme="minorHAnsi"/>
          <w:sz w:val="18"/>
          <w:szCs w:val="18"/>
        </w:rPr>
        <w:t xml:space="preserve">Assistant professor, Department of Pharmacology, </w:t>
      </w:r>
      <w:proofErr w:type="spellStart"/>
      <w:r w:rsidRPr="00BC008E">
        <w:rPr>
          <w:rFonts w:asciiTheme="majorHAnsi" w:hAnsiTheme="majorHAnsi" w:cstheme="minorHAnsi"/>
          <w:sz w:val="18"/>
          <w:szCs w:val="18"/>
        </w:rPr>
        <w:t>Navodaya</w:t>
      </w:r>
      <w:proofErr w:type="spellEnd"/>
      <w:r w:rsidRPr="00BC008E">
        <w:rPr>
          <w:rFonts w:asciiTheme="majorHAnsi" w:hAnsiTheme="majorHAnsi" w:cstheme="minorHAnsi"/>
          <w:sz w:val="18"/>
          <w:szCs w:val="18"/>
        </w:rPr>
        <w:t xml:space="preserve"> Medical College, </w:t>
      </w:r>
      <w:proofErr w:type="spellStart"/>
      <w:proofErr w:type="gramStart"/>
      <w:r w:rsidRPr="00BC008E">
        <w:rPr>
          <w:rFonts w:asciiTheme="majorHAnsi" w:hAnsiTheme="majorHAnsi" w:cstheme="minorHAnsi"/>
          <w:sz w:val="18"/>
          <w:szCs w:val="18"/>
        </w:rPr>
        <w:t>Raichur</w:t>
      </w:r>
      <w:proofErr w:type="spellEnd"/>
      <w:r>
        <w:rPr>
          <w:rFonts w:asciiTheme="majorHAnsi" w:hAnsiTheme="majorHAnsi" w:cstheme="minorHAnsi"/>
          <w:sz w:val="18"/>
          <w:szCs w:val="18"/>
        </w:rPr>
        <w:t xml:space="preserve"> ,</w:t>
      </w:r>
      <w:proofErr w:type="gramEnd"/>
      <w:r>
        <w:rPr>
          <w:rFonts w:asciiTheme="majorHAnsi" w:hAnsiTheme="majorHAnsi" w:cstheme="minorHAnsi"/>
          <w:sz w:val="18"/>
          <w:szCs w:val="18"/>
        </w:rPr>
        <w:t xml:space="preserve"> I</w:t>
      </w:r>
      <w:r w:rsidRPr="00BC008E">
        <w:rPr>
          <w:rFonts w:asciiTheme="majorHAnsi" w:hAnsiTheme="majorHAnsi" w:cstheme="minorHAnsi"/>
          <w:sz w:val="18"/>
          <w:szCs w:val="18"/>
        </w:rPr>
        <w:t xml:space="preserve">ndia </w:t>
      </w:r>
    </w:p>
    <w:p w:rsidR="007721D5" w:rsidRPr="00BC008E" w:rsidRDefault="007721D5" w:rsidP="007721D5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BC008E">
        <w:rPr>
          <w:rFonts w:asciiTheme="majorHAnsi" w:hAnsiTheme="majorHAnsi" w:cstheme="minorHAnsi"/>
          <w:b/>
          <w:sz w:val="18"/>
          <w:szCs w:val="18"/>
        </w:rPr>
        <w:t xml:space="preserve">Corresponding author: </w:t>
      </w:r>
      <w:r w:rsidRPr="00BC008E">
        <w:rPr>
          <w:rFonts w:asciiTheme="majorHAnsi" w:hAnsiTheme="majorHAnsi" w:cstheme="minorHAnsi"/>
          <w:sz w:val="18"/>
          <w:szCs w:val="18"/>
        </w:rPr>
        <w:t xml:space="preserve">Dr </w:t>
      </w:r>
      <w:proofErr w:type="spellStart"/>
      <w:r w:rsidRPr="00BC008E">
        <w:rPr>
          <w:rFonts w:asciiTheme="majorHAnsi" w:hAnsiTheme="majorHAnsi" w:cstheme="minorHAnsi"/>
          <w:sz w:val="18"/>
          <w:szCs w:val="18"/>
        </w:rPr>
        <w:t>Rohit</w:t>
      </w:r>
      <w:proofErr w:type="spellEnd"/>
      <w:r w:rsidRPr="00BC008E">
        <w:rPr>
          <w:rFonts w:asciiTheme="majorHAnsi" w:hAnsiTheme="majorHAnsi" w:cstheme="minorHAnsi"/>
          <w:sz w:val="18"/>
          <w:szCs w:val="18"/>
        </w:rPr>
        <w:t xml:space="preserve"> Dixit</w:t>
      </w: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08E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08E">
        <w:rPr>
          <w:rFonts w:ascii="Times New Roman" w:hAnsi="Times New Roman" w:cs="Times New Roman"/>
          <w:b/>
          <w:sz w:val="18"/>
          <w:szCs w:val="18"/>
        </w:rPr>
        <w:t>Objectives</w:t>
      </w:r>
      <w:r w:rsidRPr="00BC008E">
        <w:rPr>
          <w:rFonts w:ascii="Times New Roman" w:hAnsi="Times New Roman" w:cs="Times New Roman"/>
          <w:sz w:val="18"/>
          <w:szCs w:val="18"/>
        </w:rPr>
        <w:t xml:space="preserve">: The aim of our study was to find the overall success rate of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thrombolysis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in the ICCU,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Basaveshwar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 Teaching &amp; General Hospital; Gulbarga and to find whether the risk parameters like age, sex, smoking, alcohol intake, time window between symptom onset and streptokinase /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tenecteplase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administration, hypertension, diabetic status and location of MI affect the outcome of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thrombolysis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>.</w:t>
      </w: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08E">
        <w:rPr>
          <w:rFonts w:ascii="Times New Roman" w:hAnsi="Times New Roman" w:cs="Times New Roman"/>
          <w:b/>
          <w:sz w:val="18"/>
          <w:szCs w:val="18"/>
        </w:rPr>
        <w:t>Methodology</w:t>
      </w:r>
      <w:r w:rsidRPr="00BC008E">
        <w:rPr>
          <w:rFonts w:ascii="Times New Roman" w:hAnsi="Times New Roman" w:cs="Times New Roman"/>
          <w:sz w:val="18"/>
          <w:szCs w:val="18"/>
        </w:rPr>
        <w:t xml:space="preserve">: This study was undertaken in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Basaveshwar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Teaching &amp; General Hospital attached to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Mahadevappa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Rampure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Medical College, Gulbarga from October 2011 to October 2013. A total of hundred randomly selected STEMI patients, satisfying the inclusion criteria were studied.  All patients were evaluated in detail and followed until discharge from the hospital.</w:t>
      </w: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08E">
        <w:rPr>
          <w:rFonts w:ascii="Times New Roman" w:hAnsi="Times New Roman" w:cs="Times New Roman"/>
          <w:b/>
          <w:sz w:val="18"/>
          <w:szCs w:val="18"/>
        </w:rPr>
        <w:t>Results</w:t>
      </w:r>
      <w:r w:rsidRPr="00BC008E">
        <w:rPr>
          <w:rFonts w:ascii="Times New Roman" w:hAnsi="Times New Roman" w:cs="Times New Roman"/>
          <w:sz w:val="18"/>
          <w:szCs w:val="18"/>
        </w:rPr>
        <w:t xml:space="preserve">:  The overall success rate of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thrombolysis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was 65%.  Time window period, that is those presenting within 0-4 hrs of symptom onset had higher success rate compared to those presenting later (P&lt;0.01). Location of MI that is those with inferior </w:t>
      </w:r>
      <w:proofErr w:type="gramStart"/>
      <w:r w:rsidRPr="00BC008E">
        <w:rPr>
          <w:rFonts w:ascii="Times New Roman" w:hAnsi="Times New Roman" w:cs="Times New Roman"/>
          <w:sz w:val="18"/>
          <w:szCs w:val="18"/>
        </w:rPr>
        <w:t>wall</w:t>
      </w:r>
      <w:proofErr w:type="gramEnd"/>
      <w:r w:rsidRPr="00BC008E">
        <w:rPr>
          <w:rFonts w:ascii="Times New Roman" w:hAnsi="Times New Roman" w:cs="Times New Roman"/>
          <w:sz w:val="18"/>
          <w:szCs w:val="18"/>
        </w:rPr>
        <w:t xml:space="preserve"> infarctions had higher success rate compared to anterior wall (P&lt;0.05). Patients presenting with higher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Killips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had high failure rate (P&lt;0.05). Diabetics,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hypertensives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, smokers and alcoholics did not differ statistically compared to non diabetics, non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hypertensives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, non smokers and non alcoholics respectively with P&gt;0.05. Streptokinase/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tenecteplase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did not differ in their outcome statistically (P&gt;0.05).</w:t>
      </w:r>
    </w:p>
    <w:p w:rsidR="007721D5" w:rsidRPr="00BC008E" w:rsidRDefault="007721D5" w:rsidP="007721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08E">
        <w:rPr>
          <w:rFonts w:ascii="Times New Roman" w:hAnsi="Times New Roman" w:cs="Times New Roman"/>
          <w:b/>
          <w:sz w:val="18"/>
          <w:szCs w:val="18"/>
        </w:rPr>
        <w:t>Conclusion</w:t>
      </w:r>
      <w:r w:rsidRPr="00BC008E">
        <w:rPr>
          <w:rFonts w:ascii="Times New Roman" w:hAnsi="Times New Roman" w:cs="Times New Roman"/>
          <w:sz w:val="18"/>
          <w:szCs w:val="18"/>
        </w:rPr>
        <w:t xml:space="preserve">: The overall success rate of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thrombolysis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was 65. 84% were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thrombolysed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with streptokinase and 16% with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tenecteplase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. Earlier is presentation to hospital, higher is success rate. Those with inferior wall MI had higher success rate compared to anterior wall MI and those presenting with higher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killips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class had worse outcome.</w:t>
      </w:r>
    </w:p>
    <w:p w:rsidR="007721D5" w:rsidRPr="00BC008E" w:rsidRDefault="007721D5" w:rsidP="007721D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08E">
        <w:rPr>
          <w:rFonts w:ascii="Times New Roman" w:hAnsi="Times New Roman" w:cs="Times New Roman"/>
          <w:sz w:val="18"/>
          <w:szCs w:val="18"/>
        </w:rPr>
        <w:t xml:space="preserve"> </w:t>
      </w:r>
      <w:r w:rsidRPr="00BC008E">
        <w:rPr>
          <w:rFonts w:ascii="Times New Roman" w:hAnsi="Times New Roman" w:cs="Times New Roman"/>
          <w:b/>
          <w:sz w:val="18"/>
          <w:szCs w:val="18"/>
        </w:rPr>
        <w:t>Keywords</w:t>
      </w:r>
      <w:r w:rsidRPr="00BC008E">
        <w:rPr>
          <w:rFonts w:ascii="Times New Roman" w:hAnsi="Times New Roman" w:cs="Times New Roman"/>
          <w:sz w:val="18"/>
          <w:szCs w:val="18"/>
        </w:rPr>
        <w:t xml:space="preserve">: Time window period, Location of MI, </w:t>
      </w:r>
      <w:proofErr w:type="spellStart"/>
      <w:r w:rsidRPr="00BC008E">
        <w:rPr>
          <w:rFonts w:ascii="Times New Roman" w:hAnsi="Times New Roman" w:cs="Times New Roman"/>
          <w:sz w:val="18"/>
          <w:szCs w:val="18"/>
        </w:rPr>
        <w:t>Killips</w:t>
      </w:r>
      <w:proofErr w:type="spellEnd"/>
      <w:r w:rsidRPr="00BC008E">
        <w:rPr>
          <w:rFonts w:ascii="Times New Roman" w:hAnsi="Times New Roman" w:cs="Times New Roman"/>
          <w:sz w:val="18"/>
          <w:szCs w:val="18"/>
        </w:rPr>
        <w:t xml:space="preserve"> class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1D5"/>
    <w:rsid w:val="000061B3"/>
    <w:rsid w:val="0006104F"/>
    <w:rsid w:val="00274F00"/>
    <w:rsid w:val="007721D5"/>
    <w:rsid w:val="00A83F59"/>
    <w:rsid w:val="00AE3137"/>
    <w:rsid w:val="00C5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77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721D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2015-08-27T05:48:00Z</dcterms:created>
  <dcterms:modified xsi:type="dcterms:W3CDTF">2015-08-27T05:48:00Z</dcterms:modified>
</cp:coreProperties>
</file>